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8F502D">
                              <w:rPr>
                                <w:rStyle w:val="Strong"/>
                                <w:color w:val="1F497D" w:themeColor="text2"/>
                              </w:rPr>
                              <w:t>February 3</w:t>
                            </w:r>
                            <w:r w:rsidR="008E2017">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8F502D">
                        <w:rPr>
                          <w:rStyle w:val="Strong"/>
                          <w:color w:val="1F497D" w:themeColor="text2"/>
                        </w:rPr>
                        <w:t>February 3</w:t>
                      </w:r>
                      <w:r w:rsidR="008E2017">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4F0983" w:rsidRPr="0055694A" w:rsidRDefault="00CD4F0D" w:rsidP="004F0983">
      <w:pPr>
        <w:pStyle w:val="NoSpacing"/>
      </w:pPr>
      <w:r w:rsidRPr="00382C14">
        <w:rPr>
          <w:b/>
        </w:rPr>
        <w:t>Core Member Attendance:</w:t>
      </w:r>
      <w:r w:rsidRPr="00382C14">
        <w:t xml:space="preserve">  </w:t>
      </w:r>
      <w:r>
        <w:t>Jay Yoe (DHHS/OCQI), Peter Flotten (MHMC),</w:t>
      </w:r>
      <w:r w:rsidRPr="00A028AE">
        <w:t xml:space="preserve"> </w:t>
      </w:r>
      <w:r>
        <w:t>Katherine Pelletreau (ME Assoc. of Health Plans), Peter Kraut (DHHS/MaineCare),</w:t>
      </w:r>
      <w:r w:rsidRPr="004004DD">
        <w:t xml:space="preserve"> </w:t>
      </w:r>
      <w:r w:rsidR="00737F12" w:rsidRPr="00135879">
        <w:t>Sadel Davis</w:t>
      </w:r>
      <w:r w:rsidR="00737F12">
        <w:t xml:space="preserve"> (UPC of Maine),</w:t>
      </w:r>
      <w:r w:rsidR="0055694A" w:rsidRPr="0055694A">
        <w:t xml:space="preserve"> </w:t>
      </w:r>
      <w:r w:rsidR="0055694A">
        <w:t xml:space="preserve">Jim Leonard (DHHS/MaineCare), </w:t>
      </w:r>
      <w:r w:rsidR="004F0983">
        <w:t xml:space="preserve">Poppy Arford (Consumer), </w:t>
      </w:r>
      <w:r w:rsidR="00FE477B">
        <w:t>Shaun Alfreds (HealthInfoN</w:t>
      </w:r>
      <w:r w:rsidR="004F0983" w:rsidRPr="00132219">
        <w:t>et</w:t>
      </w:r>
      <w:r w:rsidR="004F0983">
        <w:t>),</w:t>
      </w:r>
      <w:r w:rsidR="004F0983" w:rsidRPr="004F0983">
        <w:t xml:space="preserve"> </w:t>
      </w:r>
      <w:r w:rsidR="004F0983">
        <w:t>Amy Dix (Office of MaineCare Services), Chuck Pritchard (Maine Quality Counts)</w:t>
      </w:r>
      <w:r w:rsidR="009A26C6">
        <w:t>, Andrew MacLean (Maine Medical Association),</w:t>
      </w:r>
      <w:r w:rsidR="00FE477B">
        <w:t xml:space="preserve"> </w:t>
      </w:r>
      <w:r w:rsidR="00C6484E" w:rsidRPr="00737F12">
        <w:t xml:space="preserve">Cindy Seekins (Parent </w:t>
      </w:r>
      <w:r w:rsidR="00C6484E">
        <w:t xml:space="preserve">of Consumer), </w:t>
      </w:r>
      <w:r w:rsidR="00FE477B">
        <w:t xml:space="preserve">Debra </w:t>
      </w:r>
      <w:r w:rsidR="00305B46">
        <w:t>Wigand (Maine CDC)</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55694A">
        <w:t xml:space="preserve"> David Hanig (Lewin),</w:t>
      </w:r>
      <w:r w:rsidR="00B10C95" w:rsidRPr="00382C14">
        <w:t xml:space="preserve"> </w:t>
      </w:r>
      <w:r w:rsidR="0055694A">
        <w:t>Tanya Disney (Lewin),</w:t>
      </w:r>
      <w:r w:rsidR="0055694A">
        <w:rPr>
          <w:b/>
        </w:rPr>
        <w:t xml:space="preserve"> </w:t>
      </w:r>
      <w:r w:rsidR="00C6484E">
        <w:t xml:space="preserve">Andy Paradis (Lewin), </w:t>
      </w:r>
      <w:r w:rsidR="006C04F9">
        <w:t>Jade Christie-Maples (Lewin),</w:t>
      </w:r>
      <w:r w:rsidR="00B96C14">
        <w:t xml:space="preserve"> </w:t>
      </w:r>
      <w:r w:rsidR="004F0983">
        <w:t>Brian Robertson (Market Decisions), Mark Noyes (Market Decisions)</w:t>
      </w:r>
      <w:r w:rsidR="009A26C6">
        <w:t>,</w:t>
      </w:r>
      <w:r w:rsidR="00FE477B">
        <w:t xml:space="preserve"> Curtis Mildner (Market Decisions</w:t>
      </w:r>
      <w:r w:rsidR="00533449">
        <w:t>)</w:t>
      </w:r>
      <w:r w:rsidR="00FE477B">
        <w:t xml:space="preserve">, </w:t>
      </w:r>
      <w:r w:rsidR="009A26C6">
        <w:t>Randy Chenard (Maine SIM)</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A028AE" w:rsidRPr="00135879">
        <w:t>)</w:t>
      </w:r>
      <w:r w:rsidR="00135879" w:rsidRPr="00135879">
        <w:t>,</w:t>
      </w:r>
      <w:r w:rsidR="007C76B8">
        <w:t xml:space="preserve"> </w:t>
      </w:r>
      <w:r w:rsidR="00FE477B" w:rsidRPr="00135879">
        <w:t xml:space="preserve">Angela Cole Westhoff </w:t>
      </w:r>
      <w:r w:rsidR="00533449">
        <w:t>(Maine Osteopathic Association)</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8F502D" w:rsidRDefault="002C5537" w:rsidP="00C6484E">
            <w:pPr>
              <w:pStyle w:val="ListParagraph"/>
              <w:numPr>
                <w:ilvl w:val="0"/>
                <w:numId w:val="25"/>
              </w:numPr>
              <w:rPr>
                <w:rFonts w:cstheme="minorHAnsi"/>
              </w:rPr>
            </w:pPr>
            <w:r>
              <w:rPr>
                <w:rFonts w:cstheme="minorHAnsi"/>
              </w:rPr>
              <w:t>Review last month’s minutes</w:t>
            </w:r>
          </w:p>
          <w:p w:rsidR="00C6484E" w:rsidRDefault="00C6484E" w:rsidP="00C6484E">
            <w:pPr>
              <w:pStyle w:val="ListParagraph"/>
              <w:numPr>
                <w:ilvl w:val="0"/>
                <w:numId w:val="25"/>
              </w:numPr>
              <w:rPr>
                <w:rFonts w:cstheme="minorHAnsi"/>
              </w:rPr>
            </w:pPr>
            <w:r>
              <w:rPr>
                <w:rFonts w:cstheme="minorHAnsi"/>
              </w:rPr>
              <w:t>Update on SORT/MLT Process</w:t>
            </w:r>
          </w:p>
          <w:p w:rsidR="00C6484E" w:rsidRDefault="00C6484E" w:rsidP="00C6484E">
            <w:pPr>
              <w:pStyle w:val="ListParagraph"/>
              <w:numPr>
                <w:ilvl w:val="0"/>
                <w:numId w:val="25"/>
              </w:numPr>
              <w:rPr>
                <w:rFonts w:cstheme="minorHAnsi"/>
              </w:rPr>
            </w:pPr>
            <w:r>
              <w:rPr>
                <w:rFonts w:cstheme="minorHAnsi"/>
              </w:rPr>
              <w:t>Clinical Data Risk Update</w:t>
            </w:r>
          </w:p>
          <w:p w:rsidR="00C6484E" w:rsidRDefault="00C6484E" w:rsidP="00C6484E">
            <w:pPr>
              <w:pStyle w:val="ListParagraph"/>
              <w:numPr>
                <w:ilvl w:val="0"/>
                <w:numId w:val="25"/>
              </w:numPr>
              <w:rPr>
                <w:rFonts w:cstheme="minorHAnsi"/>
              </w:rPr>
            </w:pPr>
            <w:r>
              <w:rPr>
                <w:rFonts w:cstheme="minorHAnsi"/>
              </w:rPr>
              <w:t xml:space="preserve">Consumer Interview Tools Review </w:t>
            </w:r>
          </w:p>
          <w:p w:rsidR="00C6484E" w:rsidRDefault="00C6484E" w:rsidP="00C6484E">
            <w:pPr>
              <w:pStyle w:val="ListParagraph"/>
              <w:numPr>
                <w:ilvl w:val="0"/>
                <w:numId w:val="25"/>
              </w:numPr>
              <w:rPr>
                <w:rFonts w:cstheme="minorHAnsi"/>
              </w:rPr>
            </w:pPr>
            <w:r>
              <w:rPr>
                <w:rFonts w:cstheme="minorHAnsi"/>
              </w:rPr>
              <w:t>Provider/Stakeholder Interview Tools Updated Approach</w:t>
            </w:r>
          </w:p>
          <w:p w:rsidR="00C6484E" w:rsidRPr="00D323AF" w:rsidRDefault="00C6484E" w:rsidP="00C6484E">
            <w:pPr>
              <w:pStyle w:val="ListParagraph"/>
              <w:numPr>
                <w:ilvl w:val="0"/>
                <w:numId w:val="25"/>
              </w:numPr>
              <w:rPr>
                <w:rFonts w:cstheme="minorHAnsi"/>
              </w:rPr>
            </w:pPr>
            <w:r>
              <w:rPr>
                <w:rFonts w:cstheme="minorHAnsi"/>
              </w:rPr>
              <w:t>Rapid Cycle Improvement Update</w:t>
            </w:r>
          </w:p>
        </w:tc>
        <w:tc>
          <w:tcPr>
            <w:tcW w:w="4604" w:type="dxa"/>
          </w:tcPr>
          <w:p w:rsidR="008F502D" w:rsidRPr="009A7859" w:rsidRDefault="008F502D" w:rsidP="00FB5488">
            <w:pPr>
              <w:pStyle w:val="Formal1"/>
              <w:rPr>
                <w:rFonts w:asciiTheme="minorHAnsi" w:hAnsiTheme="minorHAnsi" w:cstheme="minorHAnsi"/>
                <w:sz w:val="22"/>
                <w:szCs w:val="22"/>
              </w:rPr>
            </w:pPr>
          </w:p>
        </w:tc>
      </w:tr>
      <w:tr w:rsidR="008F502D" w:rsidRPr="00382C14" w:rsidTr="00D40906">
        <w:trPr>
          <w:trHeight w:val="620"/>
        </w:trPr>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Review and Approve January 6, 2016 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C6484E" w:rsidP="00E101EF">
            <w:pPr>
              <w:pStyle w:val="ListParagraph"/>
              <w:numPr>
                <w:ilvl w:val="0"/>
                <w:numId w:val="24"/>
              </w:numPr>
              <w:rPr>
                <w:rFonts w:cstheme="minorHAnsi"/>
              </w:rPr>
            </w:pPr>
            <w:r>
              <w:rPr>
                <w:rFonts w:cstheme="minorHAnsi"/>
              </w:rPr>
              <w:t>The January m</w:t>
            </w:r>
            <w:r w:rsidR="00E101EF">
              <w:rPr>
                <w:rFonts w:cstheme="minorHAnsi"/>
              </w:rPr>
              <w:t>inutes approved without changes.</w:t>
            </w:r>
          </w:p>
        </w:tc>
        <w:tc>
          <w:tcPr>
            <w:tcW w:w="4604" w:type="dxa"/>
          </w:tcPr>
          <w:p w:rsidR="008F502D" w:rsidRPr="00C6484E" w:rsidRDefault="00C6484E" w:rsidP="00C6484E">
            <w:pPr>
              <w:pStyle w:val="ListParagraph"/>
              <w:numPr>
                <w:ilvl w:val="0"/>
                <w:numId w:val="24"/>
              </w:numPr>
              <w:rPr>
                <w:rFonts w:cstheme="minorHAnsi"/>
              </w:rPr>
            </w:pPr>
            <w:r>
              <w:rPr>
                <w:rFonts w:cstheme="minorHAnsi"/>
              </w:rPr>
              <w:t xml:space="preserve">Lewin will have the meeting minutes posted to the Maine SIM website. </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 xml:space="preserve">SORT/MLT directions for SIM year 3 focus </w:t>
            </w:r>
          </w:p>
        </w:tc>
        <w:tc>
          <w:tcPr>
            <w:tcW w:w="1350" w:type="dxa"/>
          </w:tcPr>
          <w:p w:rsidR="008F502D" w:rsidRDefault="008F502D" w:rsidP="00FB5488">
            <w:pPr>
              <w:rPr>
                <w:b/>
              </w:rPr>
            </w:pPr>
            <w:r>
              <w:rPr>
                <w:b/>
              </w:rPr>
              <w:t>Chenard</w:t>
            </w:r>
            <w:r w:rsidR="00674691">
              <w:rPr>
                <w:b/>
              </w:rPr>
              <w:t xml:space="preserve"> </w:t>
            </w:r>
          </w:p>
          <w:p w:rsidR="008F502D" w:rsidRDefault="008F502D" w:rsidP="00FB5488">
            <w:pPr>
              <w:rPr>
                <w:b/>
              </w:rPr>
            </w:pPr>
            <w:r>
              <w:rPr>
                <w:b/>
              </w:rPr>
              <w:t>Yoe</w:t>
            </w:r>
          </w:p>
        </w:tc>
        <w:tc>
          <w:tcPr>
            <w:tcW w:w="5130" w:type="dxa"/>
          </w:tcPr>
          <w:p w:rsidR="00E101EF" w:rsidRPr="001613FA" w:rsidRDefault="00E101EF" w:rsidP="001613FA">
            <w:pPr>
              <w:pStyle w:val="ListParagraph"/>
              <w:numPr>
                <w:ilvl w:val="0"/>
                <w:numId w:val="24"/>
              </w:numPr>
              <w:rPr>
                <w:rFonts w:cstheme="minorHAnsi"/>
              </w:rPr>
            </w:pPr>
            <w:r>
              <w:rPr>
                <w:rFonts w:cstheme="minorHAnsi"/>
              </w:rPr>
              <w:t xml:space="preserve">The SORT process was completed with Maine </w:t>
            </w:r>
            <w:r w:rsidR="0068319D">
              <w:rPr>
                <w:rFonts w:cstheme="minorHAnsi"/>
              </w:rPr>
              <w:t>L</w:t>
            </w:r>
            <w:r>
              <w:rPr>
                <w:rFonts w:cstheme="minorHAnsi"/>
              </w:rPr>
              <w:t xml:space="preserve">eadership </w:t>
            </w:r>
            <w:r w:rsidR="0068319D">
              <w:rPr>
                <w:rFonts w:cstheme="minorHAnsi"/>
              </w:rPr>
              <w:t>T</w:t>
            </w:r>
            <w:r>
              <w:rPr>
                <w:rFonts w:cstheme="minorHAnsi"/>
              </w:rPr>
              <w:t xml:space="preserve">eam </w:t>
            </w:r>
            <w:r w:rsidR="0068319D">
              <w:rPr>
                <w:rFonts w:cstheme="minorHAnsi"/>
              </w:rPr>
              <w:t xml:space="preserve">(MLT) </w:t>
            </w:r>
            <w:r>
              <w:rPr>
                <w:rFonts w:cstheme="minorHAnsi"/>
              </w:rPr>
              <w:t>making decisions</w:t>
            </w:r>
            <w:r w:rsidR="0068319D">
              <w:rPr>
                <w:rFonts w:cstheme="minorHAnsi"/>
              </w:rPr>
              <w:t xml:space="preserve"> for 2016 SIM focus</w:t>
            </w:r>
            <w:r>
              <w:rPr>
                <w:rFonts w:cstheme="minorHAnsi"/>
              </w:rPr>
              <w:t xml:space="preserve"> based on recommendations from SORT and Steering Committee comments. </w:t>
            </w:r>
            <w:r w:rsidRPr="001613FA">
              <w:rPr>
                <w:rFonts w:cstheme="minorHAnsi"/>
              </w:rPr>
              <w:t>Outcomes were communicated to Steering Committee January 15</w:t>
            </w:r>
            <w:r w:rsidRPr="001613FA">
              <w:rPr>
                <w:rFonts w:cstheme="minorHAnsi"/>
                <w:vertAlign w:val="superscript"/>
              </w:rPr>
              <w:t>th</w:t>
            </w:r>
            <w:r w:rsidRPr="001613FA">
              <w:rPr>
                <w:rFonts w:cstheme="minorHAnsi"/>
              </w:rPr>
              <w:t xml:space="preserve">. </w:t>
            </w:r>
          </w:p>
          <w:p w:rsidR="00E101EF" w:rsidRPr="001613FA" w:rsidRDefault="00E101EF" w:rsidP="001613FA">
            <w:pPr>
              <w:pStyle w:val="ListParagraph"/>
              <w:numPr>
                <w:ilvl w:val="0"/>
                <w:numId w:val="24"/>
              </w:numPr>
              <w:rPr>
                <w:rFonts w:cstheme="minorHAnsi"/>
              </w:rPr>
            </w:pPr>
            <w:r>
              <w:rPr>
                <w:rFonts w:cstheme="minorHAnsi"/>
              </w:rPr>
              <w:t>There is also a decision to inc</w:t>
            </w:r>
            <w:r w:rsidR="001613FA">
              <w:rPr>
                <w:rFonts w:cstheme="minorHAnsi"/>
              </w:rPr>
              <w:t>rease specific focus on diabetes</w:t>
            </w:r>
            <w:r>
              <w:rPr>
                <w:rFonts w:cstheme="minorHAnsi"/>
              </w:rPr>
              <w:t xml:space="preserve"> care and fragmented care. This was communicated to Steering Committee January 26</w:t>
            </w:r>
            <w:r w:rsidRPr="00E101EF">
              <w:rPr>
                <w:rFonts w:cstheme="minorHAnsi"/>
                <w:vertAlign w:val="superscript"/>
              </w:rPr>
              <w:t>th</w:t>
            </w:r>
            <w:r>
              <w:rPr>
                <w:rFonts w:cstheme="minorHAnsi"/>
              </w:rPr>
              <w:t xml:space="preserve">. </w:t>
            </w:r>
            <w:r w:rsidR="0068319D">
              <w:rPr>
                <w:rFonts w:cstheme="minorHAnsi"/>
              </w:rPr>
              <w:t>MLT</w:t>
            </w:r>
            <w:r w:rsidR="001613FA" w:rsidRPr="001613FA">
              <w:rPr>
                <w:rFonts w:cstheme="minorHAnsi"/>
              </w:rPr>
              <w:t xml:space="preserve"> now w</w:t>
            </w:r>
            <w:r w:rsidRPr="001613FA">
              <w:rPr>
                <w:rFonts w:cstheme="minorHAnsi"/>
              </w:rPr>
              <w:t>orking to determine</w:t>
            </w:r>
            <w:r w:rsidR="001613FA" w:rsidRPr="001613FA">
              <w:rPr>
                <w:rFonts w:cstheme="minorHAnsi"/>
              </w:rPr>
              <w:t xml:space="preserve"> what </w:t>
            </w:r>
            <w:r w:rsidRPr="001613FA">
              <w:rPr>
                <w:rFonts w:cstheme="minorHAnsi"/>
              </w:rPr>
              <w:t>adjustments</w:t>
            </w:r>
            <w:r w:rsidR="001613FA" w:rsidRPr="001613FA">
              <w:rPr>
                <w:rFonts w:cstheme="minorHAnsi"/>
              </w:rPr>
              <w:t xml:space="preserve"> should be made</w:t>
            </w:r>
            <w:r w:rsidRPr="001613FA">
              <w:rPr>
                <w:rFonts w:cstheme="minorHAnsi"/>
              </w:rPr>
              <w:t xml:space="preserve"> to objectives in </w:t>
            </w:r>
            <w:r w:rsidR="001613FA" w:rsidRPr="001613FA">
              <w:rPr>
                <w:rFonts w:cstheme="minorHAnsi"/>
              </w:rPr>
              <w:t xml:space="preserve">order to </w:t>
            </w:r>
            <w:r w:rsidRPr="001613FA">
              <w:rPr>
                <w:rFonts w:cstheme="minorHAnsi"/>
              </w:rPr>
              <w:t xml:space="preserve">impact those areas. </w:t>
            </w:r>
          </w:p>
          <w:p w:rsidR="003F7A67" w:rsidRPr="001613FA" w:rsidRDefault="001613FA" w:rsidP="001613FA">
            <w:pPr>
              <w:pStyle w:val="ListParagraph"/>
              <w:numPr>
                <w:ilvl w:val="0"/>
                <w:numId w:val="24"/>
              </w:numPr>
              <w:rPr>
                <w:rFonts w:cstheme="minorHAnsi"/>
              </w:rPr>
            </w:pPr>
            <w:r>
              <w:rPr>
                <w:rFonts w:cstheme="minorHAnsi"/>
              </w:rPr>
              <w:t xml:space="preserve">Members discussed how this might impact the Evaluation Subcommittee’s focus. Specifically, an enhanced understanding of key measures for fragmented care and diabetes care will be necessary to know where SIM’s impact might be and to support further rapid cycle improvement opportunities. </w:t>
            </w:r>
          </w:p>
        </w:tc>
        <w:tc>
          <w:tcPr>
            <w:tcW w:w="4604" w:type="dxa"/>
          </w:tcPr>
          <w:p w:rsidR="008F502D" w:rsidRPr="00E3623E" w:rsidRDefault="0068319D" w:rsidP="00077DE9">
            <w:pPr>
              <w:pStyle w:val="ListParagraph"/>
              <w:numPr>
                <w:ilvl w:val="0"/>
                <w:numId w:val="2"/>
              </w:numPr>
              <w:rPr>
                <w:rFonts w:cstheme="minorHAnsi"/>
              </w:rPr>
            </w:pPr>
            <w:r>
              <w:rPr>
                <w:rFonts w:cstheme="minorHAnsi"/>
              </w:rPr>
              <w:t>Informational to committee; Members were invited to attend a special SIM Steering Committee meeting on February 4, 2016 to further discuss the Main</w:t>
            </w:r>
            <w:r w:rsidR="00077DE9">
              <w:rPr>
                <w:rFonts w:cstheme="minorHAnsi"/>
              </w:rPr>
              <w:t>e</w:t>
            </w:r>
            <w:r>
              <w:rPr>
                <w:rFonts w:cstheme="minorHAnsi"/>
              </w:rPr>
              <w:t xml:space="preserve"> SIM core metric fragmented care index measure.</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Clinical Data Risk- status update</w:t>
            </w:r>
          </w:p>
        </w:tc>
        <w:tc>
          <w:tcPr>
            <w:tcW w:w="1350" w:type="dxa"/>
          </w:tcPr>
          <w:p w:rsidR="008F502D" w:rsidRDefault="008F502D" w:rsidP="00FB5488">
            <w:pPr>
              <w:rPr>
                <w:b/>
              </w:rPr>
            </w:pPr>
            <w:r>
              <w:rPr>
                <w:b/>
              </w:rPr>
              <w:t>Leonard</w:t>
            </w:r>
          </w:p>
        </w:tc>
        <w:tc>
          <w:tcPr>
            <w:tcW w:w="5130" w:type="dxa"/>
          </w:tcPr>
          <w:p w:rsidR="00106E21" w:rsidRDefault="0068319D" w:rsidP="0021583A">
            <w:pPr>
              <w:pStyle w:val="ListParagraph"/>
              <w:numPr>
                <w:ilvl w:val="0"/>
                <w:numId w:val="11"/>
              </w:numPr>
            </w:pPr>
            <w:r>
              <w:t xml:space="preserve">Recent </w:t>
            </w:r>
            <w:r w:rsidR="00BD610F">
              <w:t xml:space="preserve">MaineCare communications with </w:t>
            </w:r>
            <w:r w:rsidR="00A70B2B">
              <w:t>Office of National Coordinator (</w:t>
            </w:r>
            <w:r w:rsidR="00106E21">
              <w:t>ONC</w:t>
            </w:r>
            <w:r w:rsidR="00A70B2B">
              <w:t>)</w:t>
            </w:r>
            <w:r w:rsidR="00BD610F">
              <w:t xml:space="preserve"> </w:t>
            </w:r>
            <w:r w:rsidR="00106E21">
              <w:t xml:space="preserve">and </w:t>
            </w:r>
            <w:r w:rsidR="00A70B2B">
              <w:t>Health Information Technology (</w:t>
            </w:r>
            <w:r w:rsidR="00106E21">
              <w:t>HIT</w:t>
            </w:r>
            <w:r w:rsidR="00A70B2B">
              <w:t>)</w:t>
            </w:r>
            <w:r w:rsidR="00106E21">
              <w:t xml:space="preserve"> Director about Electronic Clinical Quality Measures (eCQM) uses and benefits as part of Meaningful Use</w:t>
            </w:r>
            <w:r w:rsidR="003B4714">
              <w:t xml:space="preserve"> introduced at opportunity to further address th</w:t>
            </w:r>
            <w:r w:rsidR="00BD610F">
              <w:t>e clinical data</w:t>
            </w:r>
            <w:r w:rsidR="003B4714">
              <w:t xml:space="preserve"> risk</w:t>
            </w:r>
            <w:r w:rsidR="00106E21">
              <w:t>.</w:t>
            </w:r>
            <w:r w:rsidR="0021583A">
              <w:t xml:space="preserve"> While SIM introduced expectations that some clinical measures would be collected and reported, </w:t>
            </w:r>
            <w:r w:rsidR="00BD610F">
              <w:t>the means</w:t>
            </w:r>
            <w:r w:rsidR="0021583A">
              <w:t xml:space="preserve"> to do so consistently has remained an issue. </w:t>
            </w:r>
          </w:p>
          <w:p w:rsidR="006864E8" w:rsidRDefault="006864E8" w:rsidP="00305B46">
            <w:pPr>
              <w:pStyle w:val="ListParagraph"/>
              <w:numPr>
                <w:ilvl w:val="0"/>
                <w:numId w:val="11"/>
              </w:numPr>
            </w:pPr>
            <w:r>
              <w:t xml:space="preserve">There are inconsistencies among EHR vendors for generating clinical data. MaineCare collects clinical data from providers participating on Meaningful Use through a state level repository and that has significant variation in what providers are able to provide. </w:t>
            </w:r>
          </w:p>
          <w:p w:rsidR="00E65066" w:rsidRDefault="00BD610F" w:rsidP="006864E8">
            <w:pPr>
              <w:pStyle w:val="ListParagraph"/>
              <w:numPr>
                <w:ilvl w:val="0"/>
                <w:numId w:val="11"/>
              </w:numPr>
            </w:pPr>
            <w:r>
              <w:t>MaineCare</w:t>
            </w:r>
            <w:r w:rsidR="00292F50">
              <w:t xml:space="preserve"> </w:t>
            </w:r>
            <w:r>
              <w:t xml:space="preserve">is working with HIN to </w:t>
            </w:r>
            <w:r w:rsidR="00292F50">
              <w:t xml:space="preserve">test </w:t>
            </w:r>
            <w:r w:rsidR="006864E8">
              <w:t xml:space="preserve">collection of one measure – Diabetes HbA1c since </w:t>
            </w:r>
            <w:r w:rsidR="00292F50">
              <w:t xml:space="preserve">the </w:t>
            </w:r>
            <w:r w:rsidR="006864E8">
              <w:t>use case is well defined</w:t>
            </w:r>
            <w:r w:rsidR="00292F50">
              <w:t>. They are currently w</w:t>
            </w:r>
            <w:r w:rsidR="00E65066">
              <w:t>orking to assess state needs and overall capabilities, HIE readiness</w:t>
            </w:r>
            <w:r w:rsidR="00292F50">
              <w:t>, etc.</w:t>
            </w:r>
          </w:p>
          <w:p w:rsidR="00E65066" w:rsidRDefault="00292F50" w:rsidP="00292F50">
            <w:pPr>
              <w:pStyle w:val="ListParagraph"/>
              <w:numPr>
                <w:ilvl w:val="0"/>
                <w:numId w:val="11"/>
              </w:numPr>
            </w:pPr>
            <w:r>
              <w:t>Next steps will include g</w:t>
            </w:r>
            <w:r w:rsidR="00E65066">
              <w:t>overnance development</w:t>
            </w:r>
            <w:r>
              <w:t xml:space="preserve"> through </w:t>
            </w:r>
            <w:r w:rsidR="00E65066">
              <w:t>form</w:t>
            </w:r>
            <w:r>
              <w:t>ing</w:t>
            </w:r>
            <w:r w:rsidR="00E65066">
              <w:t xml:space="preserve"> multi</w:t>
            </w:r>
            <w:r w:rsidR="00674691">
              <w:t>-</w:t>
            </w:r>
            <w:r w:rsidR="00E65066">
              <w:t>stakeholder committee</w:t>
            </w:r>
            <w:r>
              <w:t xml:space="preserve">, development and presentation of a </w:t>
            </w:r>
            <w:r w:rsidR="00E65066">
              <w:t xml:space="preserve">draft plan, </w:t>
            </w:r>
            <w:r>
              <w:t xml:space="preserve">and other activities. The aim is to have a draft plan by 9/15/2016. </w:t>
            </w:r>
          </w:p>
          <w:p w:rsidR="00E65066" w:rsidRPr="00323003" w:rsidRDefault="00292F50" w:rsidP="00292F50">
            <w:pPr>
              <w:pStyle w:val="ListParagraph"/>
              <w:numPr>
                <w:ilvl w:val="0"/>
                <w:numId w:val="11"/>
              </w:numPr>
            </w:pPr>
            <w:r>
              <w:t>Committee members emphasized that it needs to be very clear</w:t>
            </w:r>
            <w:r w:rsidR="00E65066">
              <w:t xml:space="preserve"> how the</w:t>
            </w:r>
            <w:r>
              <w:t xml:space="preserve"> state</w:t>
            </w:r>
            <w:r w:rsidR="00E65066">
              <w:t xml:space="preserve"> plan</w:t>
            </w:r>
            <w:r>
              <w:t>s</w:t>
            </w:r>
            <w:r w:rsidR="00E65066">
              <w:t xml:space="preserve"> to use this information and they need absolute provider buy in</w:t>
            </w:r>
            <w:r>
              <w:t xml:space="preserve"> to be effective.</w:t>
            </w:r>
          </w:p>
        </w:tc>
        <w:tc>
          <w:tcPr>
            <w:tcW w:w="4604" w:type="dxa"/>
          </w:tcPr>
          <w:p w:rsidR="008F502D" w:rsidRPr="00E3623E" w:rsidRDefault="004B17A0" w:rsidP="0068319D">
            <w:pPr>
              <w:pStyle w:val="ListParagraph"/>
              <w:numPr>
                <w:ilvl w:val="0"/>
                <w:numId w:val="2"/>
              </w:numPr>
              <w:rPr>
                <w:rFonts w:cstheme="minorHAnsi"/>
              </w:rPr>
            </w:pPr>
            <w:r>
              <w:rPr>
                <w:rFonts w:cstheme="minorHAnsi"/>
              </w:rPr>
              <w:t xml:space="preserve">Updates will be provided to the Subcommittee as </w:t>
            </w:r>
            <w:r w:rsidR="0068319D">
              <w:rPr>
                <w:rFonts w:cstheme="minorHAnsi"/>
              </w:rPr>
              <w:t>available</w:t>
            </w:r>
            <w:r>
              <w:rPr>
                <w:rFonts w:cstheme="minorHAnsi"/>
              </w:rPr>
              <w:t xml:space="preserve">. </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2016 Consumer research tools- “final edits” and discussion </w:t>
            </w:r>
          </w:p>
        </w:tc>
        <w:tc>
          <w:tcPr>
            <w:tcW w:w="1350" w:type="dxa"/>
          </w:tcPr>
          <w:p w:rsidR="008F502D" w:rsidRDefault="0055333B" w:rsidP="00FB5488">
            <w:pPr>
              <w:rPr>
                <w:b/>
              </w:rPr>
            </w:pPr>
            <w:r>
              <w:rPr>
                <w:b/>
              </w:rPr>
              <w:t>Robertson</w:t>
            </w:r>
          </w:p>
        </w:tc>
        <w:tc>
          <w:tcPr>
            <w:tcW w:w="5130" w:type="dxa"/>
          </w:tcPr>
          <w:p w:rsidR="008F502D" w:rsidRDefault="00AA05A2" w:rsidP="00EB6167">
            <w:pPr>
              <w:pStyle w:val="ListParagraph"/>
              <w:numPr>
                <w:ilvl w:val="0"/>
                <w:numId w:val="2"/>
              </w:numPr>
              <w:contextualSpacing/>
              <w:rPr>
                <w:rFonts w:cstheme="minorHAnsi"/>
              </w:rPr>
            </w:pPr>
            <w:r>
              <w:rPr>
                <w:rFonts w:cstheme="minorHAnsi"/>
              </w:rPr>
              <w:t xml:space="preserve">While the </w:t>
            </w:r>
            <w:r w:rsidR="003F7A67">
              <w:rPr>
                <w:rFonts w:cstheme="minorHAnsi"/>
              </w:rPr>
              <w:t>2015 survey identified strengths and challenges</w:t>
            </w:r>
            <w:r>
              <w:rPr>
                <w:rFonts w:cstheme="minorHAnsi"/>
              </w:rPr>
              <w:t xml:space="preserve"> of consumer experience related to SIM</w:t>
            </w:r>
            <w:r w:rsidR="003F7A67">
              <w:rPr>
                <w:rFonts w:cstheme="minorHAnsi"/>
              </w:rPr>
              <w:t xml:space="preserve">, </w:t>
            </w:r>
            <w:r>
              <w:rPr>
                <w:rFonts w:cstheme="minorHAnsi"/>
              </w:rPr>
              <w:t>it</w:t>
            </w:r>
            <w:r w:rsidR="003F7A67">
              <w:rPr>
                <w:rFonts w:cstheme="minorHAnsi"/>
              </w:rPr>
              <w:t xml:space="preserve"> didn’t always </w:t>
            </w:r>
            <w:r>
              <w:rPr>
                <w:rFonts w:cstheme="minorHAnsi"/>
              </w:rPr>
              <w:t>collect</w:t>
            </w:r>
            <w:r w:rsidR="003F7A67">
              <w:rPr>
                <w:rFonts w:cstheme="minorHAnsi"/>
              </w:rPr>
              <w:t xml:space="preserve"> enough </w:t>
            </w:r>
            <w:r w:rsidR="00BD610F">
              <w:rPr>
                <w:rFonts w:cstheme="minorHAnsi"/>
              </w:rPr>
              <w:t xml:space="preserve">specific </w:t>
            </w:r>
            <w:r>
              <w:rPr>
                <w:rFonts w:cstheme="minorHAnsi"/>
              </w:rPr>
              <w:t>consumer</w:t>
            </w:r>
            <w:r w:rsidR="00BD610F">
              <w:rPr>
                <w:rFonts w:cstheme="minorHAnsi"/>
              </w:rPr>
              <w:t xml:space="preserve"> feedback</w:t>
            </w:r>
            <w:r>
              <w:rPr>
                <w:rFonts w:cstheme="minorHAnsi"/>
              </w:rPr>
              <w:t xml:space="preserve"> </w:t>
            </w:r>
            <w:r w:rsidR="003F7A67">
              <w:rPr>
                <w:rFonts w:cstheme="minorHAnsi"/>
              </w:rPr>
              <w:t>to inform quality improvement.</w:t>
            </w:r>
          </w:p>
          <w:p w:rsidR="003F7A67" w:rsidRPr="0060696B" w:rsidRDefault="00AA05A2" w:rsidP="0060696B">
            <w:pPr>
              <w:pStyle w:val="ListParagraph"/>
              <w:numPr>
                <w:ilvl w:val="0"/>
                <w:numId w:val="2"/>
              </w:numPr>
              <w:contextualSpacing/>
              <w:rPr>
                <w:rFonts w:cstheme="minorHAnsi"/>
              </w:rPr>
            </w:pPr>
            <w:r>
              <w:rPr>
                <w:rFonts w:cstheme="minorHAnsi"/>
              </w:rPr>
              <w:t>The updated instrument will include</w:t>
            </w:r>
            <w:r w:rsidR="003F7A67">
              <w:rPr>
                <w:rFonts w:cstheme="minorHAnsi"/>
              </w:rPr>
              <w:t xml:space="preserve"> open-ended follow up </w:t>
            </w:r>
            <w:r w:rsidR="00BD610F">
              <w:rPr>
                <w:rFonts w:cstheme="minorHAnsi"/>
              </w:rPr>
              <w:t xml:space="preserve">questions </w:t>
            </w:r>
            <w:r w:rsidR="003F7A67">
              <w:rPr>
                <w:rFonts w:cstheme="minorHAnsi"/>
              </w:rPr>
              <w:t xml:space="preserve">to specific </w:t>
            </w:r>
            <w:r>
              <w:rPr>
                <w:rFonts w:cstheme="minorHAnsi"/>
              </w:rPr>
              <w:t>focus areas</w:t>
            </w:r>
            <w:r w:rsidR="003F7A67">
              <w:rPr>
                <w:rFonts w:cstheme="minorHAnsi"/>
              </w:rPr>
              <w:t>: communications and patient engagement, coordination of care, and expectations and outcomes.</w:t>
            </w:r>
            <w:r w:rsidR="0060696B">
              <w:rPr>
                <w:rFonts w:cstheme="minorHAnsi"/>
              </w:rPr>
              <w:t xml:space="preserve"> </w:t>
            </w:r>
            <w:r w:rsidR="0060696B" w:rsidRPr="0060696B">
              <w:rPr>
                <w:rFonts w:cstheme="minorHAnsi"/>
              </w:rPr>
              <w:t>In addition, there will be n</w:t>
            </w:r>
            <w:r w:rsidR="003F7A67" w:rsidRPr="0060696B">
              <w:rPr>
                <w:rFonts w:cstheme="minorHAnsi"/>
              </w:rPr>
              <w:t xml:space="preserve">ew </w:t>
            </w:r>
            <w:r w:rsidR="0060696B" w:rsidRPr="0060696B">
              <w:rPr>
                <w:rFonts w:cstheme="minorHAnsi"/>
              </w:rPr>
              <w:t>topics</w:t>
            </w:r>
            <w:r w:rsidR="003F7A67" w:rsidRPr="0060696B">
              <w:rPr>
                <w:rFonts w:cstheme="minorHAnsi"/>
              </w:rPr>
              <w:t xml:space="preserve"> for questions</w:t>
            </w:r>
            <w:r w:rsidR="00BD610F">
              <w:rPr>
                <w:rFonts w:cstheme="minorHAnsi"/>
              </w:rPr>
              <w:t xml:space="preserve"> regarding</w:t>
            </w:r>
            <w:r w:rsidR="003F7A67" w:rsidRPr="0060696B">
              <w:rPr>
                <w:rFonts w:cstheme="minorHAnsi"/>
              </w:rPr>
              <w:t xml:space="preserve"> patient involvement, emergency department use</w:t>
            </w:r>
            <w:r w:rsidR="00BD610F">
              <w:rPr>
                <w:rFonts w:cstheme="minorHAnsi"/>
              </w:rPr>
              <w:t>,</w:t>
            </w:r>
            <w:r w:rsidR="003F7A67" w:rsidRPr="0060696B">
              <w:rPr>
                <w:rFonts w:cstheme="minorHAnsi"/>
              </w:rPr>
              <w:t xml:space="preserve"> and barriers to care.</w:t>
            </w:r>
          </w:p>
          <w:p w:rsidR="00DF222B" w:rsidRDefault="00E12AA0" w:rsidP="00E12AA0">
            <w:pPr>
              <w:pStyle w:val="ListParagraph"/>
              <w:numPr>
                <w:ilvl w:val="0"/>
                <w:numId w:val="2"/>
              </w:numPr>
              <w:contextualSpacing/>
              <w:rPr>
                <w:rFonts w:cstheme="minorHAnsi"/>
              </w:rPr>
            </w:pPr>
            <w:r>
              <w:rPr>
                <w:rFonts w:cstheme="minorHAnsi"/>
              </w:rPr>
              <w:t xml:space="preserve">Subcommittee members discussed assessing consumer perceptions of changes in care over the prior 12 months, as well as how to target perceived expectations most effectively. Members also emphasized a need to ensure consumers understand that their feedback </w:t>
            </w:r>
            <w:r w:rsidR="003B4714">
              <w:rPr>
                <w:rFonts w:cstheme="minorHAnsi"/>
              </w:rPr>
              <w:t xml:space="preserve">will not impact or change the care they receive. </w:t>
            </w:r>
          </w:p>
          <w:p w:rsidR="0005306C" w:rsidRPr="003B4714" w:rsidRDefault="003B4714" w:rsidP="003B4714">
            <w:pPr>
              <w:pStyle w:val="ListParagraph"/>
              <w:numPr>
                <w:ilvl w:val="0"/>
                <w:numId w:val="2"/>
              </w:numPr>
              <w:contextualSpacing/>
              <w:rPr>
                <w:rFonts w:cstheme="minorHAnsi"/>
              </w:rPr>
            </w:pPr>
            <w:r>
              <w:rPr>
                <w:rFonts w:cstheme="minorHAnsi"/>
              </w:rPr>
              <w:t>Members discussed the importance of q</w:t>
            </w:r>
            <w:r w:rsidR="002B1188">
              <w:rPr>
                <w:rFonts w:cstheme="minorHAnsi"/>
              </w:rPr>
              <w:t>uestions about E</w:t>
            </w:r>
            <w:r>
              <w:rPr>
                <w:rFonts w:cstheme="minorHAnsi"/>
              </w:rPr>
              <w:t xml:space="preserve">mergency </w:t>
            </w:r>
            <w:r w:rsidR="002B1188">
              <w:rPr>
                <w:rFonts w:cstheme="minorHAnsi"/>
              </w:rPr>
              <w:t>D</w:t>
            </w:r>
            <w:r>
              <w:rPr>
                <w:rFonts w:cstheme="minorHAnsi"/>
              </w:rPr>
              <w:t>epartment</w:t>
            </w:r>
            <w:r w:rsidR="002B1188">
              <w:rPr>
                <w:rFonts w:cstheme="minorHAnsi"/>
              </w:rPr>
              <w:t xml:space="preserve"> use as well as services that consumers might forego because of cost because they would not offer this information without being asked. </w:t>
            </w:r>
            <w:r>
              <w:rPr>
                <w:rFonts w:cstheme="minorHAnsi"/>
              </w:rPr>
              <w:t xml:space="preserve">Members suggested various approaches to these types of questions and also recommended including a question about transportation barriers. </w:t>
            </w:r>
          </w:p>
        </w:tc>
        <w:tc>
          <w:tcPr>
            <w:tcW w:w="4604" w:type="dxa"/>
          </w:tcPr>
          <w:p w:rsidR="008F502D" w:rsidRPr="00AA6364" w:rsidRDefault="0021583A" w:rsidP="0000219C">
            <w:pPr>
              <w:pStyle w:val="ListParagraph"/>
              <w:numPr>
                <w:ilvl w:val="0"/>
                <w:numId w:val="2"/>
              </w:numPr>
              <w:rPr>
                <w:rFonts w:cstheme="minorHAnsi"/>
              </w:rPr>
            </w:pPr>
            <w:r>
              <w:rPr>
                <w:rFonts w:cstheme="minorHAnsi"/>
              </w:rPr>
              <w:t xml:space="preserve">Market Decisions will be updating the tools based on Subcommittee feedback. A final iteration will be distributed prior to the March meeting with the intention of seeking Subcommittee approval at that time. </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2016 Provider/Stakeholder research</w:t>
            </w:r>
          </w:p>
        </w:tc>
        <w:tc>
          <w:tcPr>
            <w:tcW w:w="1350" w:type="dxa"/>
          </w:tcPr>
          <w:p w:rsidR="008F502D" w:rsidRPr="0055333B" w:rsidRDefault="0055333B" w:rsidP="00FB5488">
            <w:pPr>
              <w:rPr>
                <w:b/>
              </w:rPr>
            </w:pPr>
            <w:r w:rsidRPr="0055333B">
              <w:rPr>
                <w:b/>
              </w:rPr>
              <w:t>Mildner</w:t>
            </w:r>
          </w:p>
        </w:tc>
        <w:tc>
          <w:tcPr>
            <w:tcW w:w="5130" w:type="dxa"/>
          </w:tcPr>
          <w:p w:rsidR="0005306C" w:rsidRDefault="00BD610F" w:rsidP="005A2B57">
            <w:pPr>
              <w:pStyle w:val="ListParagraph"/>
              <w:numPr>
                <w:ilvl w:val="0"/>
                <w:numId w:val="3"/>
              </w:numPr>
            </w:pPr>
            <w:r>
              <w:t xml:space="preserve">The </w:t>
            </w:r>
            <w:r w:rsidR="004B17A0">
              <w:t xml:space="preserve">Market Decisions </w:t>
            </w:r>
            <w:r>
              <w:t>2016 provider/stakeholder research proposal plans</w:t>
            </w:r>
            <w:r w:rsidR="004B17A0">
              <w:t xml:space="preserve"> to </w:t>
            </w:r>
            <w:r>
              <w:t>enhance</w:t>
            </w:r>
            <w:r w:rsidR="004B17A0">
              <w:t xml:space="preserve"> </w:t>
            </w:r>
            <w:r>
              <w:t>the research</w:t>
            </w:r>
            <w:r w:rsidR="0005306C">
              <w:t xml:space="preserve"> process for providers and stakeholders</w:t>
            </w:r>
            <w:r>
              <w:t xml:space="preserve"> based on lessons learned from 2015.</w:t>
            </w:r>
            <w:r w:rsidR="004B17A0">
              <w:t xml:space="preserve"> The proposed methodology includes </w:t>
            </w:r>
            <w:r w:rsidR="0005306C">
              <w:t xml:space="preserve">five distinct data collection and reporting efforts </w:t>
            </w:r>
            <w:r w:rsidR="004B17A0">
              <w:t xml:space="preserve">aligned to the key SIM initiatives using interviews as well as focus groups. </w:t>
            </w:r>
          </w:p>
          <w:p w:rsidR="00B40B14" w:rsidRDefault="00A64FAA" w:rsidP="00A64FAA">
            <w:pPr>
              <w:pStyle w:val="ListParagraph"/>
              <w:numPr>
                <w:ilvl w:val="0"/>
                <w:numId w:val="3"/>
              </w:numPr>
            </w:pPr>
            <w:r>
              <w:t>Focus groups will be structured to allow for naturally flowing discussions over 2 hours.</w:t>
            </w:r>
          </w:p>
          <w:p w:rsidR="00B40B14" w:rsidRDefault="00B40B14" w:rsidP="005A2B57">
            <w:pPr>
              <w:pStyle w:val="ListParagraph"/>
              <w:numPr>
                <w:ilvl w:val="0"/>
                <w:numId w:val="3"/>
              </w:numPr>
            </w:pPr>
            <w:r>
              <w:t>Provider interviews</w:t>
            </w:r>
            <w:r w:rsidR="00A64FAA">
              <w:t xml:space="preserve"> will be tailored to provider types, with experience interviewers using interview software to help track responses accurately. The process will also </w:t>
            </w:r>
            <w:r>
              <w:t>target</w:t>
            </w:r>
            <w:r w:rsidR="00A64FAA">
              <w:t xml:space="preserve"> the</w:t>
            </w:r>
            <w:r>
              <w:t xml:space="preserve"> most appropriate or knowledgeable respondent within each </w:t>
            </w:r>
            <w:r w:rsidR="00BD610F">
              <w:t>provider group</w:t>
            </w:r>
            <w:r>
              <w:t xml:space="preserve"> </w:t>
            </w:r>
            <w:r w:rsidR="00A64FAA">
              <w:t xml:space="preserve">to answer specific questions. </w:t>
            </w:r>
          </w:p>
          <w:p w:rsidR="00EA78A9" w:rsidRDefault="00A64FAA" w:rsidP="00A64FAA">
            <w:pPr>
              <w:pStyle w:val="ListParagraph"/>
              <w:numPr>
                <w:ilvl w:val="0"/>
                <w:numId w:val="3"/>
              </w:numPr>
            </w:pPr>
            <w:r>
              <w:t>Subcommittee members discussed the proposed methodology briefly, highlighting the need to consider multiple respondents for specific interventions. There was also discussion for how to best coordinate focus groups in a way that allows for substantial participation of key players. For example, one member suggested coordinating a BHH focus group around long-standing,</w:t>
            </w:r>
            <w:r w:rsidR="00EA78A9">
              <w:t xml:space="preserve"> bi-monthly BHH meetings. </w:t>
            </w:r>
          </w:p>
        </w:tc>
        <w:tc>
          <w:tcPr>
            <w:tcW w:w="4604" w:type="dxa"/>
          </w:tcPr>
          <w:p w:rsidR="008F502D" w:rsidRPr="002518BF" w:rsidRDefault="00106E21" w:rsidP="007E79E9">
            <w:pPr>
              <w:pStyle w:val="ListParagraph"/>
              <w:numPr>
                <w:ilvl w:val="0"/>
                <w:numId w:val="3"/>
              </w:numPr>
              <w:contextualSpacing/>
              <w:rPr>
                <w:bCs/>
              </w:rPr>
            </w:pPr>
            <w:r>
              <w:rPr>
                <w:bCs/>
              </w:rPr>
              <w:t>Members</w:t>
            </w:r>
            <w:r w:rsidR="007E79E9">
              <w:rPr>
                <w:bCs/>
              </w:rPr>
              <w:t xml:space="preserve"> were asked to consider the key information and questions they think should be included for this second round of data collection. Topics will be further discussed during the March meeting. </w:t>
            </w:r>
            <w:r>
              <w:rPr>
                <w:bCs/>
              </w:rPr>
              <w:t xml:space="preserve"> </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Rapid Cycle Improvement: Next Steps</w:t>
            </w:r>
          </w:p>
        </w:tc>
        <w:tc>
          <w:tcPr>
            <w:tcW w:w="1350" w:type="dxa"/>
          </w:tcPr>
          <w:p w:rsidR="008F502D" w:rsidRDefault="008F502D" w:rsidP="00FB5488">
            <w:pPr>
              <w:rPr>
                <w:b/>
              </w:rPr>
            </w:pPr>
          </w:p>
        </w:tc>
        <w:tc>
          <w:tcPr>
            <w:tcW w:w="5130" w:type="dxa"/>
          </w:tcPr>
          <w:p w:rsidR="008F502D" w:rsidRDefault="001613FA" w:rsidP="005D66B3">
            <w:pPr>
              <w:pStyle w:val="ListParagraph"/>
              <w:numPr>
                <w:ilvl w:val="0"/>
                <w:numId w:val="3"/>
              </w:numPr>
            </w:pPr>
            <w:r>
              <w:t>Topic was not discussed and will be covered in the March meeting.</w:t>
            </w:r>
          </w:p>
        </w:tc>
        <w:tc>
          <w:tcPr>
            <w:tcW w:w="4604" w:type="dxa"/>
          </w:tcPr>
          <w:p w:rsidR="008F502D" w:rsidRPr="00062B9C" w:rsidRDefault="001613FA" w:rsidP="002156C8">
            <w:pPr>
              <w:pStyle w:val="ListParagraph"/>
              <w:numPr>
                <w:ilvl w:val="0"/>
                <w:numId w:val="3"/>
              </w:numPr>
              <w:contextualSpacing/>
              <w:rPr>
                <w:bCs/>
              </w:rPr>
            </w:pPr>
            <w:r>
              <w:rPr>
                <w:bCs/>
              </w:rPr>
              <w:t>To be discussed during the March meeting.</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Time for Public Comment</w:t>
            </w:r>
          </w:p>
        </w:tc>
        <w:tc>
          <w:tcPr>
            <w:tcW w:w="1350" w:type="dxa"/>
          </w:tcPr>
          <w:p w:rsidR="008F502D" w:rsidRPr="00382C14" w:rsidRDefault="008F502D" w:rsidP="00FB5488">
            <w:pPr>
              <w:rPr>
                <w:b/>
              </w:rPr>
            </w:pPr>
          </w:p>
        </w:tc>
        <w:tc>
          <w:tcPr>
            <w:tcW w:w="5130" w:type="dxa"/>
          </w:tcPr>
          <w:p w:rsidR="008F502D" w:rsidRPr="00124585" w:rsidRDefault="00BD610F" w:rsidP="001613FA">
            <w:r>
              <w:t>No comment</w:t>
            </w:r>
          </w:p>
        </w:tc>
        <w:tc>
          <w:tcPr>
            <w:tcW w:w="4604" w:type="dxa"/>
          </w:tcPr>
          <w:p w:rsidR="008F502D" w:rsidRPr="001613FA" w:rsidRDefault="008F502D" w:rsidP="001613FA">
            <w:pPr>
              <w:contextualSpacing/>
              <w:rPr>
                <w:bCs/>
              </w:rPr>
            </w:pP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8E48CF" w:rsidRPr="001613FA" w:rsidRDefault="00674691" w:rsidP="001613FA">
            <w:pPr>
              <w:pStyle w:val="ListParagraph"/>
              <w:numPr>
                <w:ilvl w:val="0"/>
                <w:numId w:val="17"/>
              </w:numPr>
            </w:pPr>
            <w:r w:rsidRPr="001613FA">
              <w:t>Continue Rapid Cycle Improvement Discussions</w:t>
            </w:r>
          </w:p>
          <w:p w:rsidR="008E48CF" w:rsidRPr="001613FA" w:rsidRDefault="00674691" w:rsidP="001613FA">
            <w:pPr>
              <w:pStyle w:val="ListParagraph"/>
              <w:numPr>
                <w:ilvl w:val="0"/>
                <w:numId w:val="17"/>
              </w:numPr>
            </w:pPr>
            <w:r w:rsidRPr="001613FA">
              <w:t>Review/revision Provider, Stakeholder research tools</w:t>
            </w:r>
          </w:p>
          <w:p w:rsidR="008E48CF" w:rsidRPr="001613FA" w:rsidRDefault="00674691" w:rsidP="001613FA">
            <w:pPr>
              <w:pStyle w:val="ListParagraph"/>
              <w:numPr>
                <w:ilvl w:val="0"/>
                <w:numId w:val="17"/>
              </w:numPr>
            </w:pPr>
            <w:r w:rsidRPr="001613FA">
              <w:t>Target setting progress for Commercial &amp; Medicare- progress update</w:t>
            </w:r>
          </w:p>
          <w:p w:rsidR="008E48CF" w:rsidRPr="001613FA" w:rsidRDefault="00674691" w:rsidP="001613FA">
            <w:pPr>
              <w:pStyle w:val="ListParagraph"/>
              <w:numPr>
                <w:ilvl w:val="0"/>
                <w:numId w:val="17"/>
              </w:numPr>
            </w:pPr>
            <w:r w:rsidRPr="001613FA">
              <w:t xml:space="preserve">Updated Maine SIM dashboard review </w:t>
            </w:r>
          </w:p>
          <w:p w:rsidR="008F502D" w:rsidRDefault="00674691" w:rsidP="001613FA">
            <w:pPr>
              <w:pStyle w:val="ListParagraph"/>
              <w:numPr>
                <w:ilvl w:val="0"/>
                <w:numId w:val="17"/>
              </w:numPr>
            </w:pPr>
            <w:r w:rsidRPr="001613FA">
              <w:t>Follow up on clinical data risk and other identified risks as necessary</w:t>
            </w: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8F502D">
        <w:rPr>
          <w:rFonts w:eastAsia="Times New Roman" w:cs="Times New Roman"/>
          <w:b/>
        </w:rPr>
        <w:t>March 2</w:t>
      </w:r>
      <w:r w:rsidR="005E6D1A">
        <w:rPr>
          <w:rFonts w:eastAsia="Times New Roman" w:cs="Times New Roman"/>
          <w:b/>
        </w:rPr>
        <w:t>, 2015</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r w:rsidR="00CD4F0D">
              <w:rPr>
                <w:rFonts w:asciiTheme="minorHAnsi" w:hAnsiTheme="minorHAnsi"/>
              </w:rPr>
              <w:t xml:space="preserve">  Note that Lewin has received Medicare data.</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r w:rsidR="00CD4F0D">
              <w:rPr>
                <w:rFonts w:asciiTheme="minorHAnsi" w:hAnsiTheme="minorHAnsi"/>
              </w:rPr>
              <w:t xml:space="preserve">  Note that Lewin has received commercial data.</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Pr>
                <w:rFonts w:asciiTheme="minorHAnsi" w:hAnsiTheme="minorHAnsi"/>
                <w:sz w:val="22"/>
                <w:szCs w:val="22"/>
              </w:rPr>
              <w:t xml:space="preserve">6/24/15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Pr>
                <w:rFonts w:asciiTheme="minorHAnsi" w:hAnsiTheme="minorHAnsi"/>
                <w:sz w:val="22"/>
                <w:szCs w:val="22"/>
              </w:rPr>
              <w:t>10/28</w:t>
            </w:r>
            <w:r w:rsidR="00BD610F">
              <w:rPr>
                <w:rFonts w:asciiTheme="minorHAnsi" w:hAnsiTheme="minorHAnsi"/>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674691" w:rsidRPr="00FF1757" w:rsidRDefault="00674691" w:rsidP="00ED2254">
            <w:pPr>
              <w:rPr>
                <w:rFonts w:asciiTheme="minorHAnsi" w:hAnsiTheme="minorHAnsi"/>
                <w:sz w:val="22"/>
                <w:szCs w:val="22"/>
              </w:rPr>
            </w:pPr>
            <w:r>
              <w:rPr>
                <w:rFonts w:asciiTheme="minorHAnsi" w:hAnsiTheme="minorHAnsi"/>
                <w:sz w:val="22"/>
                <w:szCs w:val="22"/>
              </w:rPr>
              <w:t>2/3</w:t>
            </w:r>
            <w:r w:rsidR="00BD610F">
              <w:rPr>
                <w:rFonts w:asciiTheme="minorHAnsi" w:hAnsiTheme="minorHAnsi"/>
                <w:sz w:val="22"/>
                <w:szCs w:val="22"/>
              </w:rPr>
              <w:t>/16</w:t>
            </w:r>
            <w:r>
              <w:rPr>
                <w:rFonts w:asciiTheme="minorHAnsi" w:hAnsiTheme="minorHAnsi"/>
                <w:sz w:val="22"/>
                <w:szCs w:val="22"/>
              </w:rPr>
              <w:t xml:space="preserve"> – Subcommittee members received update on MaineCare efforts to begin mobilization for testing collection of Diabetes HbA1c. Needs assessment is currently underway, with aim to develop governance structure and draft plan by September 2016.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BD610F" w:rsidRPr="00382C14" w:rsidTr="00BD610F">
        <w:tc>
          <w:tcPr>
            <w:tcW w:w="1168" w:type="dxa"/>
          </w:tcPr>
          <w:p w:rsidR="00BD610F" w:rsidRPr="00FF1757" w:rsidRDefault="00BD610F" w:rsidP="00B41722">
            <w:pPr>
              <w:rPr>
                <w:rFonts w:asciiTheme="minorHAnsi" w:hAnsiTheme="minorHAnsi"/>
                <w:sz w:val="22"/>
                <w:szCs w:val="22"/>
              </w:rPr>
            </w:pPr>
            <w:r>
              <w:rPr>
                <w:rFonts w:asciiTheme="minorHAnsi" w:hAnsiTheme="minorHAnsi"/>
              </w:rPr>
              <w:t>6/24/2015</w:t>
            </w:r>
          </w:p>
        </w:tc>
        <w:tc>
          <w:tcPr>
            <w:tcW w:w="4250" w:type="dxa"/>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Default="00BD610F" w:rsidP="00B41722">
            <w:pPr>
              <w:rPr>
                <w:rFonts w:asciiTheme="minorHAnsi" w:hAnsiTheme="minorHAnsi"/>
                <w:sz w:val="22"/>
                <w:szCs w:val="22"/>
              </w:rPr>
            </w:pP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F3" w:rsidRDefault="003A02F3" w:rsidP="009528AC">
      <w:pPr>
        <w:spacing w:after="0" w:line="240" w:lineRule="auto"/>
      </w:pPr>
      <w:r>
        <w:separator/>
      </w:r>
    </w:p>
  </w:endnote>
  <w:endnote w:type="continuationSeparator" w:id="0">
    <w:p w:rsidR="003A02F3" w:rsidRDefault="003A02F3"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68319D">
        <w:pPr>
          <w:pStyle w:val="Footer"/>
          <w:jc w:val="right"/>
          <w:rPr>
            <w:sz w:val="18"/>
            <w:szCs w:val="18"/>
          </w:rPr>
        </w:pPr>
        <w:r>
          <w:rPr>
            <w:sz w:val="18"/>
            <w:szCs w:val="18"/>
          </w:rPr>
          <w:t>February 3</w:t>
        </w:r>
        <w:r w:rsidR="005E6D1A" w:rsidRPr="005E6D1A">
          <w:rPr>
            <w:sz w:val="18"/>
            <w:szCs w:val="18"/>
          </w:rPr>
          <w:t>, 201</w:t>
        </w:r>
        <w:r w:rsidR="00305B46">
          <w:rPr>
            <w:sz w:val="18"/>
            <w:szCs w:val="18"/>
          </w:rPr>
          <w:t>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235555">
          <w:rPr>
            <w:noProof/>
            <w:sz w:val="18"/>
            <w:szCs w:val="18"/>
          </w:rPr>
          <w:t>6</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F3" w:rsidRDefault="003A02F3" w:rsidP="009528AC">
      <w:pPr>
        <w:spacing w:after="0" w:line="240" w:lineRule="auto"/>
      </w:pPr>
      <w:r>
        <w:separator/>
      </w:r>
    </w:p>
  </w:footnote>
  <w:footnote w:type="continuationSeparator" w:id="0">
    <w:p w:rsidR="003A02F3" w:rsidRDefault="003A02F3"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A9" w:rsidRDefault="00971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1">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4">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7">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9">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0">
    <w:nsid w:val="390F352D"/>
    <w:multiLevelType w:val="hybridMultilevel"/>
    <w:tmpl w:val="1F60F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3">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4">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15">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A94A4C"/>
    <w:multiLevelType w:val="hybridMultilevel"/>
    <w:tmpl w:val="649889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18">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0">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2">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23">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5"/>
  </w:num>
  <w:num w:numId="3">
    <w:abstractNumId w:val="16"/>
  </w:num>
  <w:num w:numId="4">
    <w:abstractNumId w:val="1"/>
  </w:num>
  <w:num w:numId="5">
    <w:abstractNumId w:val="9"/>
  </w:num>
  <w:num w:numId="6">
    <w:abstractNumId w:val="4"/>
  </w:num>
  <w:num w:numId="7">
    <w:abstractNumId w:val="3"/>
  </w:num>
  <w:num w:numId="8">
    <w:abstractNumId w:val="17"/>
  </w:num>
  <w:num w:numId="9">
    <w:abstractNumId w:val="21"/>
  </w:num>
  <w:num w:numId="10">
    <w:abstractNumId w:val="12"/>
  </w:num>
  <w:num w:numId="11">
    <w:abstractNumId w:val="24"/>
  </w:num>
  <w:num w:numId="12">
    <w:abstractNumId w:val="0"/>
  </w:num>
  <w:num w:numId="13">
    <w:abstractNumId w:val="22"/>
  </w:num>
  <w:num w:numId="14">
    <w:abstractNumId w:val="6"/>
  </w:num>
  <w:num w:numId="15">
    <w:abstractNumId w:val="8"/>
  </w:num>
  <w:num w:numId="16">
    <w:abstractNumId w:val="23"/>
  </w:num>
  <w:num w:numId="17">
    <w:abstractNumId w:val="10"/>
  </w:num>
  <w:num w:numId="18">
    <w:abstractNumId w:val="14"/>
  </w:num>
  <w:num w:numId="19">
    <w:abstractNumId w:val="13"/>
  </w:num>
  <w:num w:numId="20">
    <w:abstractNumId w:val="25"/>
  </w:num>
  <w:num w:numId="21">
    <w:abstractNumId w:val="5"/>
  </w:num>
  <w:num w:numId="22">
    <w:abstractNumId w:val="11"/>
  </w:num>
  <w:num w:numId="23">
    <w:abstractNumId w:val="7"/>
  </w:num>
  <w:num w:numId="24">
    <w:abstractNumId w:val="20"/>
  </w:num>
  <w:num w:numId="25">
    <w:abstractNumId w:val="18"/>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5B17"/>
    <w:rsid w:val="00077DE9"/>
    <w:rsid w:val="00086D9D"/>
    <w:rsid w:val="00095E72"/>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65FD"/>
    <w:rsid w:val="001567D4"/>
    <w:rsid w:val="00156D05"/>
    <w:rsid w:val="001613FA"/>
    <w:rsid w:val="0016382B"/>
    <w:rsid w:val="00176F0E"/>
    <w:rsid w:val="001774A5"/>
    <w:rsid w:val="00177928"/>
    <w:rsid w:val="001828A9"/>
    <w:rsid w:val="00184A3F"/>
    <w:rsid w:val="00190FD6"/>
    <w:rsid w:val="0019691C"/>
    <w:rsid w:val="00197039"/>
    <w:rsid w:val="0019779D"/>
    <w:rsid w:val="001A2AA7"/>
    <w:rsid w:val="001A3885"/>
    <w:rsid w:val="001B0113"/>
    <w:rsid w:val="001B1456"/>
    <w:rsid w:val="001B517B"/>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555"/>
    <w:rsid w:val="00235B01"/>
    <w:rsid w:val="00237BB8"/>
    <w:rsid w:val="002422B9"/>
    <w:rsid w:val="0024589D"/>
    <w:rsid w:val="00251624"/>
    <w:rsid w:val="002518BF"/>
    <w:rsid w:val="002533BE"/>
    <w:rsid w:val="00254D4F"/>
    <w:rsid w:val="00255283"/>
    <w:rsid w:val="00262906"/>
    <w:rsid w:val="00265838"/>
    <w:rsid w:val="00283A5B"/>
    <w:rsid w:val="00285B5F"/>
    <w:rsid w:val="00292F50"/>
    <w:rsid w:val="00294AD3"/>
    <w:rsid w:val="002950B8"/>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5B46"/>
    <w:rsid w:val="00307654"/>
    <w:rsid w:val="00313F23"/>
    <w:rsid w:val="00317BC6"/>
    <w:rsid w:val="00317EB4"/>
    <w:rsid w:val="00320777"/>
    <w:rsid w:val="00320DF3"/>
    <w:rsid w:val="003220C6"/>
    <w:rsid w:val="00323003"/>
    <w:rsid w:val="003234D8"/>
    <w:rsid w:val="00323BDD"/>
    <w:rsid w:val="0032550D"/>
    <w:rsid w:val="00347EEA"/>
    <w:rsid w:val="00354529"/>
    <w:rsid w:val="00365DB9"/>
    <w:rsid w:val="003663FD"/>
    <w:rsid w:val="00366684"/>
    <w:rsid w:val="00370EBC"/>
    <w:rsid w:val="00372121"/>
    <w:rsid w:val="0037241B"/>
    <w:rsid w:val="0037672E"/>
    <w:rsid w:val="00380A1A"/>
    <w:rsid w:val="00382C14"/>
    <w:rsid w:val="003847D2"/>
    <w:rsid w:val="00387B86"/>
    <w:rsid w:val="00392076"/>
    <w:rsid w:val="003970E1"/>
    <w:rsid w:val="003972B8"/>
    <w:rsid w:val="003A02F3"/>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97A"/>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59FE"/>
    <w:rsid w:val="004A6F00"/>
    <w:rsid w:val="004B0B09"/>
    <w:rsid w:val="004B17A0"/>
    <w:rsid w:val="004B19FA"/>
    <w:rsid w:val="004B5FB2"/>
    <w:rsid w:val="004B76DC"/>
    <w:rsid w:val="004C0584"/>
    <w:rsid w:val="004C0EA7"/>
    <w:rsid w:val="004C2832"/>
    <w:rsid w:val="004C2A33"/>
    <w:rsid w:val="004C59C2"/>
    <w:rsid w:val="004D349B"/>
    <w:rsid w:val="004D3D29"/>
    <w:rsid w:val="004E21A0"/>
    <w:rsid w:val="004E3B9B"/>
    <w:rsid w:val="004E75B8"/>
    <w:rsid w:val="004F0983"/>
    <w:rsid w:val="004F2914"/>
    <w:rsid w:val="00503704"/>
    <w:rsid w:val="00504887"/>
    <w:rsid w:val="00511D91"/>
    <w:rsid w:val="00513493"/>
    <w:rsid w:val="0051757D"/>
    <w:rsid w:val="00524079"/>
    <w:rsid w:val="00533449"/>
    <w:rsid w:val="00533F6E"/>
    <w:rsid w:val="00534E7A"/>
    <w:rsid w:val="005350A4"/>
    <w:rsid w:val="00535B92"/>
    <w:rsid w:val="00535BD7"/>
    <w:rsid w:val="00536D0A"/>
    <w:rsid w:val="00542DCF"/>
    <w:rsid w:val="00544104"/>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2B57"/>
    <w:rsid w:val="005A7BF9"/>
    <w:rsid w:val="005B19DF"/>
    <w:rsid w:val="005B1B33"/>
    <w:rsid w:val="005B22F4"/>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9AD"/>
    <w:rsid w:val="00634623"/>
    <w:rsid w:val="00634B9E"/>
    <w:rsid w:val="00635E57"/>
    <w:rsid w:val="00636E2A"/>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C04F9"/>
    <w:rsid w:val="006C083C"/>
    <w:rsid w:val="006C2122"/>
    <w:rsid w:val="006C426A"/>
    <w:rsid w:val="006D27DE"/>
    <w:rsid w:val="006D667B"/>
    <w:rsid w:val="006F2FDF"/>
    <w:rsid w:val="006F362D"/>
    <w:rsid w:val="006F4A12"/>
    <w:rsid w:val="0071317C"/>
    <w:rsid w:val="00714D46"/>
    <w:rsid w:val="0071661C"/>
    <w:rsid w:val="007224D3"/>
    <w:rsid w:val="007225CD"/>
    <w:rsid w:val="007233A4"/>
    <w:rsid w:val="00730AD4"/>
    <w:rsid w:val="00730CA7"/>
    <w:rsid w:val="00737F12"/>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7E79E9"/>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7D57"/>
    <w:rsid w:val="008C3EEB"/>
    <w:rsid w:val="008C516A"/>
    <w:rsid w:val="008D12EE"/>
    <w:rsid w:val="008D13C7"/>
    <w:rsid w:val="008D18D1"/>
    <w:rsid w:val="008D3F65"/>
    <w:rsid w:val="008E162A"/>
    <w:rsid w:val="008E19F6"/>
    <w:rsid w:val="008E2017"/>
    <w:rsid w:val="008E3D83"/>
    <w:rsid w:val="008E48CF"/>
    <w:rsid w:val="008F2DA8"/>
    <w:rsid w:val="008F3561"/>
    <w:rsid w:val="008F502D"/>
    <w:rsid w:val="008F5D6E"/>
    <w:rsid w:val="00904D1E"/>
    <w:rsid w:val="00906A46"/>
    <w:rsid w:val="00910134"/>
    <w:rsid w:val="0091304A"/>
    <w:rsid w:val="009142CC"/>
    <w:rsid w:val="00914EB5"/>
    <w:rsid w:val="00916DE7"/>
    <w:rsid w:val="00922823"/>
    <w:rsid w:val="00922930"/>
    <w:rsid w:val="00924B9E"/>
    <w:rsid w:val="00925343"/>
    <w:rsid w:val="009310E2"/>
    <w:rsid w:val="00932AA0"/>
    <w:rsid w:val="00934F2C"/>
    <w:rsid w:val="00935216"/>
    <w:rsid w:val="009363E1"/>
    <w:rsid w:val="00941278"/>
    <w:rsid w:val="009454FF"/>
    <w:rsid w:val="009470B3"/>
    <w:rsid w:val="009503BA"/>
    <w:rsid w:val="009528AC"/>
    <w:rsid w:val="00952C2E"/>
    <w:rsid w:val="009569E4"/>
    <w:rsid w:val="0095790E"/>
    <w:rsid w:val="00971CA9"/>
    <w:rsid w:val="00984BD6"/>
    <w:rsid w:val="0099337F"/>
    <w:rsid w:val="009A06B8"/>
    <w:rsid w:val="009A1CD3"/>
    <w:rsid w:val="009A26C6"/>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4FAA"/>
    <w:rsid w:val="00A65CDF"/>
    <w:rsid w:val="00A65D3E"/>
    <w:rsid w:val="00A70231"/>
    <w:rsid w:val="00A70B2B"/>
    <w:rsid w:val="00A7115B"/>
    <w:rsid w:val="00A712C8"/>
    <w:rsid w:val="00A7467D"/>
    <w:rsid w:val="00A77638"/>
    <w:rsid w:val="00A80237"/>
    <w:rsid w:val="00A80B89"/>
    <w:rsid w:val="00A81FC0"/>
    <w:rsid w:val="00A84E7D"/>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332E1"/>
    <w:rsid w:val="00B3334D"/>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594C"/>
    <w:rsid w:val="00BB18BE"/>
    <w:rsid w:val="00BB38A4"/>
    <w:rsid w:val="00BB514A"/>
    <w:rsid w:val="00BB5E4C"/>
    <w:rsid w:val="00BC6ABF"/>
    <w:rsid w:val="00BD1BE8"/>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67BD3"/>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077D"/>
    <w:rsid w:val="00DB0AD6"/>
    <w:rsid w:val="00DB1A00"/>
    <w:rsid w:val="00DB35D6"/>
    <w:rsid w:val="00DB5F72"/>
    <w:rsid w:val="00DC2ABE"/>
    <w:rsid w:val="00DC45C1"/>
    <w:rsid w:val="00DC5C80"/>
    <w:rsid w:val="00DC7D65"/>
    <w:rsid w:val="00DD1237"/>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65066"/>
    <w:rsid w:val="00E75723"/>
    <w:rsid w:val="00E779CD"/>
    <w:rsid w:val="00E83854"/>
    <w:rsid w:val="00E83E5A"/>
    <w:rsid w:val="00E90849"/>
    <w:rsid w:val="00E91865"/>
    <w:rsid w:val="00E91CC0"/>
    <w:rsid w:val="00E96071"/>
    <w:rsid w:val="00EA7500"/>
    <w:rsid w:val="00EA78A9"/>
    <w:rsid w:val="00EA7E70"/>
    <w:rsid w:val="00EB1E75"/>
    <w:rsid w:val="00EB3D4C"/>
    <w:rsid w:val="00EB6167"/>
    <w:rsid w:val="00EB6509"/>
    <w:rsid w:val="00EC0CBA"/>
    <w:rsid w:val="00EC108A"/>
    <w:rsid w:val="00EC14ED"/>
    <w:rsid w:val="00EC3095"/>
    <w:rsid w:val="00EC356A"/>
    <w:rsid w:val="00EC40B8"/>
    <w:rsid w:val="00EC52FD"/>
    <w:rsid w:val="00EC618B"/>
    <w:rsid w:val="00EC751B"/>
    <w:rsid w:val="00EC7AEE"/>
    <w:rsid w:val="00ED2254"/>
    <w:rsid w:val="00EE155B"/>
    <w:rsid w:val="00EE2F17"/>
    <w:rsid w:val="00EE3A3F"/>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37CE2"/>
    <w:rsid w:val="00F45035"/>
    <w:rsid w:val="00F60C73"/>
    <w:rsid w:val="00F61704"/>
    <w:rsid w:val="00F619D3"/>
    <w:rsid w:val="00F61F9E"/>
    <w:rsid w:val="00F63900"/>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477B"/>
    <w:rsid w:val="00FE5354"/>
    <w:rsid w:val="00FE67AE"/>
    <w:rsid w:val="00FF1757"/>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E1BC91FD-3A3D-4B07-B746-D46F773A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Kristal Peyton</cp:lastModifiedBy>
  <cp:revision>12</cp:revision>
  <cp:lastPrinted>2014-04-08T15:44:00Z</cp:lastPrinted>
  <dcterms:created xsi:type="dcterms:W3CDTF">2016-02-04T15:26:00Z</dcterms:created>
  <dcterms:modified xsi:type="dcterms:W3CDTF">2016-04-27T16:29:00Z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